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5-2026-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/ Erneuerung der Windmühlenflügel an der Windmühle in Blend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 der Gemeinde Blender sollen die Windmühlenflügel erneuert bzw. saniert werden.
Auftraggeber ist die Samtgemeinde Thedinghausen.
Berechtigter und Verpflichteter aus dem Vergabeverfahren ist ausschließlich die Samtgemeinde Thedinghaus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